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Anadia – Reporte inicial</w:t>
      </w:r>
    </w:p>
    <w:p>
      <w:pPr>
        <w:pStyle w:val="Normal"/>
        <w:rPr/>
      </w:pPr>
      <w:r>
        <w:rPr/>
      </w:r>
    </w:p>
    <w:p>
      <w:pPr>
        <w:pStyle w:val="TextBody"/>
        <w:rPr>
          <w:b/>
          <w:b/>
          <w:bCs/>
        </w:rPr>
      </w:pPr>
      <w:r>
        <w:rPr>
          <w:b/>
          <w:bCs/>
        </w:rPr>
        <w:t>Introducción General</w:t>
      </w:r>
    </w:p>
    <w:p>
      <w:pPr>
        <w:pStyle w:val="TextBody"/>
        <w:rPr/>
      </w:pPr>
      <w:r>
        <w:rPr/>
        <w:t xml:space="preserve">El </w:t>
      </w:r>
      <w:r>
        <w:rPr/>
        <w:t>municipio</w:t>
      </w:r>
      <w:r>
        <w:rPr/>
        <w:t xml:space="preserve"> de Anadia tenía, en 2011, una población residente de 29150 personas. Con un total de 216,6 km² distribuidos en 10 freguesias (parish), Anadia tiene 134,58 hab/km². Se lozaliza en la Beira Litoral, en Centro de Portugal, en el Bajo Vouga y en la sub-región de Bairrada, </w:t>
      </w:r>
      <w:r>
        <w:rPr/>
        <w:t>pertenece</w:t>
      </w:r>
      <w:r>
        <w:rPr/>
        <w:t xml:space="preserve"> al distrito de Aveiro. Al norte hace frontera con los municipios de Águeda y Oliveira do Bairro, al Sur con el municipio de Mealhada, al oeste con Cantanhede y al Este con Mortágua.</w:t>
      </w:r>
      <w:r>
        <w:rPr>
          <w:rStyle w:val="FootnoteAnchor"/>
        </w:rPr>
        <w:footnoteReference w:id="2"/>
      </w:r>
    </w:p>
    <w:p>
      <w:pPr>
        <w:pStyle w:val="TextBody"/>
        <w:rPr/>
      </w:pPr>
      <w:r>
        <w:rPr/>
        <w:t xml:space="preserve">Los rendimientos brutos </w:t>
      </w:r>
      <w:r>
        <w:rPr/>
        <w:t xml:space="preserve">por habitante </w:t>
      </w:r>
      <w:r>
        <w:rPr/>
        <w:t xml:space="preserve">en el municipio desde </w:t>
      </w:r>
      <w:r>
        <w:rPr/>
        <w:t>2015 hasta 2018 se presenta en la siguiente tabla, comparándolos con los mismos valores para Portugal</w:t>
      </w:r>
      <w:r>
        <w:rPr>
          <w:rStyle w:val="FootnoteAnchor"/>
        </w:rPr>
        <w:footnoteReference w:id="3"/>
      </w:r>
      <w:r>
        <w:rPr/>
        <w:t>: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Localización Geográfica</w:t>
            </w:r>
          </w:p>
        </w:tc>
        <w:tc>
          <w:tcPr>
            <w:tcW w:w="7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Rendimiento bruto declarado por habitante (€); Anual</w:t>
            </w:r>
          </w:p>
        </w:tc>
      </w:tr>
      <w:tr>
        <w:trPr/>
        <w:tc>
          <w:tcPr>
            <w:tcW w:w="19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Portugal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9280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8773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8347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7956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Anadia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7841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7438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7131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>
          <w:b/>
          <w:b/>
          <w:bCs/>
        </w:rPr>
      </w:pPr>
      <w:r>
        <w:rPr>
          <w:b/>
          <w:bCs/>
        </w:rPr>
        <w:t>Características Biofísicas</w:t>
      </w:r>
    </w:p>
    <w:p>
      <w:pPr>
        <w:pStyle w:val="TextBody"/>
        <w:rPr/>
      </w:pPr>
      <w:r>
        <w:rPr/>
        <w:t>Las normales climatericas, medidas a 45m arriba del nivel del mar, se presentan a continuación</w:t>
      </w:r>
      <w:r>
        <w:rPr>
          <w:rStyle w:val="FootnoteAnchor"/>
        </w:rPr>
        <w:footnoteReference w:id="4"/>
      </w:r>
      <w:r>
        <w:rPr/>
        <w:t>:</w:t>
      </w:r>
    </w:p>
    <w:p>
      <w:pPr>
        <w:pStyle w:val="TextBody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319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/>
      </w:pPr>
      <w:r>
        <w:rPr/>
        <w:t xml:space="preserve">El </w:t>
      </w:r>
      <w:r>
        <w:rPr/>
        <w:t>municipio</w:t>
      </w:r>
      <w:r>
        <w:rPr/>
        <w:t xml:space="preserve"> tiene un clima </w:t>
      </w:r>
      <w:r>
        <w:rPr/>
        <w:t>típicamente</w:t>
      </w:r>
      <w:r>
        <w:rPr/>
        <w:t xml:space="preserve"> atlántico, con inviernos amenos y veranos moderados, aún que la humedad sea elevada durante todo el año.</w:t>
      </w:r>
    </w:p>
    <w:p>
      <w:pPr>
        <w:pStyle w:val="TextBody"/>
        <w:rPr/>
      </w:pPr>
      <w:r>
        <w:rPr/>
        <w:t xml:space="preserve">Los suelos son en su </w:t>
      </w:r>
      <w:r>
        <w:rPr/>
        <w:t>mayoría</w:t>
      </w:r>
      <w:r>
        <w:rPr/>
        <w:t xml:space="preserve"> argilo-calcarios y arenosos. </w:t>
      </w:r>
    </w:p>
    <w:p>
      <w:pPr>
        <w:pStyle w:val="TextBody"/>
        <w:rPr/>
      </w:pPr>
      <w:r>
        <w:rPr/>
        <w:t xml:space="preserve">En el pasado hubo minería de hierro y </w:t>
      </w:r>
      <w:r>
        <w:rPr/>
        <w:t>manganeso</w:t>
      </w:r>
      <w:r>
        <w:rPr/>
        <w:t xml:space="preserve"> pero hoy día no se hace </w:t>
      </w:r>
      <w:r>
        <w:rPr/>
        <w:t>ninguna</w:t>
      </w:r>
      <w:r>
        <w:rPr/>
        <w:t xml:space="preserve"> extracción mineral.</w:t>
      </w:r>
    </w:p>
    <w:p>
      <w:pPr>
        <w:pStyle w:val="TextBody"/>
        <w:rPr>
          <w:b/>
          <w:b/>
          <w:bCs/>
        </w:rPr>
      </w:pPr>
      <w:r>
        <w:rPr>
          <w:b/>
          <w:bCs/>
        </w:rPr>
        <w:t>Infraestructura</w:t>
      </w:r>
    </w:p>
    <w:p>
      <w:pPr>
        <w:pStyle w:val="TextBody"/>
        <w:rPr/>
      </w:pPr>
      <w:r>
        <w:rPr/>
        <w:t>El municipio no tiene producción de energía eléctrica pr</w:t>
      </w:r>
      <w:r>
        <w:rPr/>
        <w:t>o</w:t>
      </w:r>
      <w:r>
        <w:rPr/>
        <w:t xml:space="preserve">pia, siendo todo obtenido desde afuera, con excepción de algunos pequeños </w:t>
      </w:r>
      <w:r>
        <w:rPr/>
        <w:t>paneles</w:t>
      </w:r>
      <w:r>
        <w:rPr/>
        <w:t xml:space="preserve"> fotovoltaicos.</w:t>
      </w:r>
    </w:p>
    <w:p>
      <w:pPr>
        <w:pStyle w:val="TextBody"/>
        <w:rPr/>
      </w:pPr>
      <w:r>
        <w:rPr/>
        <w:t xml:space="preserve">Una gran parte de los terrenos del municipio se dividen entre </w:t>
      </w:r>
      <w:r>
        <w:rPr/>
        <w:t>área</w:t>
      </w:r>
      <w:r>
        <w:rPr/>
        <w:t xml:space="preserve"> agrícola, </w:t>
      </w:r>
      <w:r>
        <w:rPr/>
        <w:t>área</w:t>
      </w:r>
      <w:r>
        <w:rPr/>
        <w:t xml:space="preserve"> de producción de vino y </w:t>
      </w:r>
      <w:r>
        <w:rPr/>
        <w:t>área</w:t>
      </w:r>
      <w:r>
        <w:rPr/>
        <w:t xml:space="preserve"> </w:t>
      </w:r>
      <w:r>
        <w:rPr/>
        <w:t>forestal.</w:t>
      </w:r>
    </w:p>
    <w:p>
      <w:pPr>
        <w:pStyle w:val="TextBody"/>
        <w:rPr/>
      </w:pPr>
      <w:r>
        <w:rPr/>
        <w:t>En 2009, esta era el área en uso (ha), con diferentes tipos de uso:</w:t>
      </w:r>
      <w:r>
        <w:rPr>
          <w:rStyle w:val="FootnoteAnchor"/>
        </w:rPr>
        <w:footnoteReference w:id="5"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xtBody"/>
              <w:spacing w:before="0" w:after="140"/>
              <w:jc w:val="center"/>
              <w:rPr/>
            </w:pPr>
            <w:r>
              <w:rPr/>
              <w:t>área of agricultural holdings (ha) by Geographic localization (NUTS - 2013), Type of land use and Utilised agricultural área classes; Decennial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Tipo de uso de la tierra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Total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área agrícola usada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área florestal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área agrícola inutilizada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Otros terrenos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6602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3446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2928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122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106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La red de tranporte es basica ya que no hay mucha gente que utilice los mismos. Hay un colectivo que hace diferentes trayectos en diferentes días.</w:t>
      </w:r>
    </w:p>
    <w:p>
      <w:pPr>
        <w:pStyle w:val="TextBody"/>
        <w:rPr/>
      </w:pPr>
      <w:r>
        <w:rPr/>
        <w:t xml:space="preserve">Anadia es uno de los dos </w:t>
      </w:r>
      <w:r>
        <w:rPr/>
        <w:t>únicos</w:t>
      </w:r>
      <w:r>
        <w:rPr/>
        <w:t xml:space="preserve"> municipios de Portugal que no ha privatizado el servicio de abastecimiento de </w:t>
      </w:r>
      <w:r>
        <w:rPr/>
        <w:t>agua</w:t>
      </w:r>
      <w:r>
        <w:rPr/>
        <w:t xml:space="preserve"> público, debido a las reservas que </w:t>
      </w:r>
      <w:r>
        <w:rPr/>
        <w:t>posee.</w:t>
      </w:r>
      <w:r>
        <w:rPr/>
        <w:t xml:space="preserve"> Tiene también una estación de tratamiento de aguas residuales que sirve a todo </w:t>
      </w:r>
      <w:r>
        <w:rPr/>
        <w:t>la municipalidad</w:t>
      </w:r>
      <w:r>
        <w:rPr/>
        <w:t>.</w:t>
      </w:r>
    </w:p>
    <w:p>
      <w:pPr>
        <w:pStyle w:val="TextBody"/>
        <w:rPr/>
      </w:pPr>
      <w:r>
        <w:rPr/>
        <w:t xml:space="preserve">Aunque poco industrializada, Anadia tiene una importante industria de vinos y espumantes (champagne) ya que está integrada en la sub-región de Bairrada. </w:t>
      </w:r>
      <w:r>
        <w:rPr/>
        <w:t>La parte de serranía está plantada por eucaliptos en su mayoría.</w:t>
      </w:r>
    </w:p>
    <w:p>
      <w:pPr>
        <w:pStyle w:val="TextBody"/>
        <w:rPr/>
      </w:pPr>
      <w:r>
        <w:rPr/>
        <w:t>De las pocas plantas industriales, se destacan Pavigres (</w:t>
      </w:r>
      <w:r>
        <w:rPr/>
        <w:t>pavimentos</w:t>
      </w:r>
      <w:r>
        <w:rPr/>
        <w:t xml:space="preserve">) y Sanitana (sanitarios). El turismo deportivo es lo más importante ya que la construcción del Velódromo Nacional </w:t>
      </w:r>
      <w:r>
        <w:rPr/>
        <w:t>ha impulsionado</w:t>
      </w:r>
      <w:r>
        <w:rPr/>
        <w:t xml:space="preserve"> mayoritariamente el turismo de ciclismo. (con una primera búsqueda, no hay muchos datos sobre cantidad de gente que llega ni el </w:t>
      </w:r>
      <w:r>
        <w:rPr/>
        <w:t>volumen</w:t>
      </w:r>
      <w:r>
        <w:rPr/>
        <w:t xml:space="preserve"> de negocios de las industrias).</w:t>
      </w:r>
    </w:p>
    <w:p>
      <w:pPr>
        <w:pStyle w:val="TextBody"/>
        <w:rPr/>
      </w:pPr>
      <w:r>
        <w:rPr/>
        <w:t xml:space="preserve">Los RSU así cómo los reciclables son manejados por la empresa ERSUC que tiene dos vertederos en Aveiro y Coimbra, y cuenta con plantas de valorización de </w:t>
      </w:r>
      <w:r>
        <w:rPr/>
        <w:t>residuos</w:t>
      </w:r>
      <w:r>
        <w:rPr/>
        <w:t xml:space="preserve"> en estas ciudades también. En el </w:t>
      </w:r>
      <w:r>
        <w:rPr/>
        <w:t>municipio</w:t>
      </w:r>
      <w:r>
        <w:rPr/>
        <w:t xml:space="preserve"> de Anadia, se </w:t>
      </w:r>
      <w:r>
        <w:rPr/>
        <w:t>recogieron</w:t>
      </w:r>
      <w:r>
        <w:rPr/>
        <w:t xml:space="preserve"> 8511,3 t de RSU en 2016 y 946,3 t de reciclables. </w:t>
      </w:r>
      <w:r>
        <w:rPr>
          <w:rStyle w:val="FootnoteAnchor"/>
        </w:rPr>
        <w:footnoteReference w:id="6"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>
          <w:b/>
          <w:b/>
          <w:bCs/>
        </w:rPr>
      </w:pPr>
      <w:r>
        <w:rPr>
          <w:b/>
          <w:bCs/>
        </w:rPr>
        <w:t>Stocks y flujos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>Consumo energético (kWh annual) en 2018, por sector de actividad</w:t>
      </w:r>
      <w:r>
        <w:rPr>
          <w:rStyle w:val="FootnoteAnchor"/>
          <w:b w:val="false"/>
          <w:bCs w:val="false"/>
        </w:rPr>
        <w:footnoteReference w:id="7"/>
      </w:r>
      <w:r>
        <w:rPr>
          <w:b w:val="false"/>
          <w:bCs w:val="false"/>
        </w:rPr>
        <w:t>: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04"/>
        <w:gridCol w:w="1205"/>
        <w:gridCol w:w="1204"/>
        <w:gridCol w:w="1205"/>
        <w:gridCol w:w="1205"/>
        <w:gridCol w:w="1204"/>
        <w:gridCol w:w="1205"/>
        <w:gridCol w:w="1206"/>
      </w:tblGrid>
      <w:tr>
        <w:trPr/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Domestico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domestico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Industria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Iluminación pública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Iluminación interior de edificios publicos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>
        <w:trPr/>
        <w:tc>
          <w:tcPr>
            <w:tcW w:w="12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142975905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35757463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19009555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72299286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3930276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4941986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6359398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677941</w:t>
            </w:r>
          </w:p>
        </w:tc>
      </w:tr>
    </w:tbl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>Existe información de la producción agrícola al nivel de las freguesías (parish), así como de miel, el número de animales. A un nivel macro (regional) hay datos de ton/ha de las principales cosechas. También hay datos de producción de vino en la región.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>Hay datos de consumo de energía fósiles, discriminados por fuente y por actividad económica.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En 2009, el consumo de água por habitante fue de 109 m³ </w:t>
      </w:r>
      <w:r>
        <w:rPr>
          <w:rStyle w:val="FootnoteAnchor"/>
          <w:b w:val="false"/>
          <w:bCs w:val="false"/>
        </w:rPr>
        <w:footnoteReference w:id="8"/>
      </w:r>
      <w:r>
        <w:rPr>
          <w:b w:val="false"/>
          <w:bCs w:val="false"/>
        </w:rPr>
        <w:t>.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>Los datos de emisiones existen para todo el país, por industria y por área agrícola utilizada, por ejemplo.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Body"/>
        <w:rPr>
          <w:b/>
          <w:b/>
          <w:bCs/>
        </w:rPr>
      </w:pPr>
      <w:r>
        <w:rPr>
          <w:b/>
          <w:bCs/>
        </w:rPr>
        <w:t>Actores importantes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>La municipalidad de Anadia – Câmara Municipal de Anadia – es el más importante organo de decisión de la ciudad, ya que engloba todos los departamientos de decisión (Ambiental, Urbano, etc.).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>Además de las industrias mencionadas, hay algunas más que se destacan: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>- destileria Levira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>- Todas las bodegas del municipio, alrededor de 30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>- CMS Helmets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>Hay una Escuela de Vinicultura que tiene hace más de 100 años un importante papel en la formación de base (ensino secundario) de algunos jóvenes.</w:t>
      </w:r>
    </w:p>
    <w:p>
      <w:pPr>
        <w:pStyle w:val="TextBody"/>
        <w:spacing w:before="0" w:after="140"/>
        <w:rPr>
          <w:b w:val="false"/>
          <w:b w:val="false"/>
          <w:bCs w:val="false"/>
        </w:rPr>
      </w:pPr>
      <w:r>
        <w:rPr>
          <w:b w:val="false"/>
          <w:bCs w:val="false"/>
        </w:rPr>
        <w:t>Algunos restaurantes que reciben una gran cantidad de gente debido al plato típico de la región, conocido en todo el país, que es el lechón.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hyperlink r:id="rId1">
        <w:r>
          <w:rPr>
            <w:rStyle w:val="InternetLink"/>
          </w:rPr>
          <w:tab/>
          <w:t>https://www.cm-anadia.pt/pages/525</w:t>
        </w:r>
      </w:hyperlink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hyperlink r:id="rId2">
        <w:r>
          <w:rPr>
            <w:rStyle w:val="InternetLink"/>
          </w:rPr>
          <w:tab/>
          <w:t>https://www.ine.pt/xportal/xmain?xpid=INE&amp;xpgid=ine_indicadores&amp;indOcorrCod=0009759&amp;contexto=bd&amp;selTab=tab2</w:t>
        </w:r>
      </w:hyperlink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fldChar w:fldCharType="begin"/>
      </w:r>
      <w:r>
        <w:rPr>
          <w:rStyle w:val="InternetLink"/>
        </w:rPr>
        <w:instrText> HYPERLINK "https://en.wikipedia.org/wiki/Anadia,_Portugal" \l "Climate"</w:instrText>
      </w:r>
      <w:r>
        <w:rPr>
          <w:rStyle w:val="InternetLink"/>
        </w:rPr>
        <w:fldChar w:fldCharType="separate"/>
      </w:r>
      <w:r>
        <w:rPr>
          <w:rStyle w:val="InternetLink"/>
        </w:rPr>
        <w:tab/>
        <w:t>https://en.wikipedia.org/wiki/Anadia,_Portugal#Climate</w:t>
      </w:r>
      <w:r>
        <w:rPr>
          <w:rStyle w:val="InternetLink"/>
        </w:rPr>
        <w:fldChar w:fldCharType="end"/>
      </w:r>
    </w:p>
    <w:p>
      <w:pPr>
        <w:pStyle w:val="Footnote"/>
        <w:rPr/>
      </w:pPr>
      <w:r>
        <w:rPr/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hyperlink r:id="rId3">
        <w:r>
          <w:rPr>
            <w:rStyle w:val="InternetLink"/>
          </w:rPr>
          <w:tab/>
          <w:t>https://www.ine.pt/xportal/xmain?xpid=INE&amp;xpgid=ine_indicadores&amp;indOcorrCod=0009731&amp;contexto=bd&amp;selTab=tab2</w:t>
        </w:r>
      </w:hyperlink>
    </w:p>
  </w:footnote>
  <w:footnote w:id="6">
    <w:p>
      <w:pPr>
        <w:pStyle w:val="Footnote"/>
        <w:rPr/>
      </w:pPr>
      <w:r>
        <w:rPr>
          <w:rStyle w:val="FootnoteCharacters"/>
        </w:rPr>
        <w:footnoteRef/>
      </w:r>
      <w:hyperlink r:id="rId4">
        <w:r>
          <w:rPr>
            <w:rStyle w:val="InternetLink"/>
          </w:rPr>
          <w:tab/>
          <w:t>https://www.cm-anadia.pt/pages/726</w:t>
        </w:r>
      </w:hyperlink>
    </w:p>
  </w:footnote>
  <w:footnote w:id="7">
    <w:p>
      <w:pPr>
        <w:pStyle w:val="Footnote"/>
        <w:rPr/>
      </w:pPr>
      <w:r>
        <w:rPr>
          <w:rStyle w:val="FootnoteCharacters"/>
        </w:rPr>
        <w:footnoteRef/>
      </w:r>
      <w:hyperlink r:id="rId5">
        <w:r>
          <w:rPr>
            <w:rStyle w:val="InternetLink"/>
          </w:rPr>
          <w:tab/>
          <w:t>https://www.ine.pt/xportal/xmain?xpid=INE&amp;xpgid=ine_indicadores&amp;indOcorrCod=0008222&amp;contexto=bd&amp;selTab=tab2</w:t>
        </w:r>
      </w:hyperlink>
    </w:p>
  </w:footnote>
  <w:footnote w:id="8">
    <w:p>
      <w:pPr>
        <w:pStyle w:val="Footnote"/>
        <w:rPr/>
      </w:pPr>
      <w:r>
        <w:rPr>
          <w:rStyle w:val="FootnoteCharacters"/>
        </w:rPr>
        <w:footnoteRef/>
      </w:r>
      <w:hyperlink r:id="rId6">
        <w:r>
          <w:rPr>
            <w:rStyle w:val="InternetLink"/>
          </w:rPr>
          <w:tab/>
          <w:t>https://www.ine.pt/xportal/xmain?xpid=INE&amp;xpgid=ine_indicadores&amp;indOcorrCod=0001877&amp;contexto=bd&amp;selTab=tab2</w:t>
        </w:r>
      </w:hyperlink>
    </w:p>
  </w:footnote>
</w:footnotes>
</file>

<file path=word/settings.xml><?xml version="1.0" encoding="utf-8"?>
<w:settings xmlns:w="http://schemas.openxmlformats.org/wordprocessingml/2006/main">
  <w:zoom w:percent="79"/>
  <w:defaultTabStop w:val="4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>
      <w:lang w:val="es-AR"/>
    </w:rPr>
  </w:style>
  <w:style w:type="paragraph" w:styleId="List">
    <w:name w:val="List"/>
    <w:basedOn w:val="TextBody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styleId="Footnot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cm-anadia.pt/pages/525" TargetMode="External"/><Relationship Id="rId2" Type="http://schemas.openxmlformats.org/officeDocument/2006/relationships/hyperlink" Target="https://www.ine.pt/xportal/xmain?xpid=INE&amp;xpgid=ine_indicadores&amp;indOcorrCod=0009759&amp;contexto=bd&amp;selTab=tab2" TargetMode="External"/><Relationship Id="rId3" Type="http://schemas.openxmlformats.org/officeDocument/2006/relationships/hyperlink" Target="https://www.ine.pt/xportal/xmain?xpid=INE&amp;xpgid=ine_indicadores&amp;indOcorrCod=0009731&amp;contexto=bd&amp;selTab=tab2" TargetMode="External"/><Relationship Id="rId4" Type="http://schemas.openxmlformats.org/officeDocument/2006/relationships/hyperlink" Target="https://www.cm-anadia.pt/pages/726" TargetMode="External"/><Relationship Id="rId5" Type="http://schemas.openxmlformats.org/officeDocument/2006/relationships/hyperlink" Target="https://www.ine.pt/xportal/xmain?xpid=INE&amp;xpgid=ine_indicadores&amp;indOcorrCod=0008222&amp;contexto=bd&amp;selTab=tab2" TargetMode="External"/><Relationship Id="rId6" Type="http://schemas.openxmlformats.org/officeDocument/2006/relationships/hyperlink" Target="https://www.ine.pt/xportal/xmain?xpid=INE&amp;xpgid=ine_indicadores&amp;indOcorrCod=0001877&amp;contexto=bd&amp;selTab=tab2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LibreOffice/6.0.7.3$Linux_X86_64 LibreOffice_project/00m0$Build-3</Application>
  <Pages>3</Pages>
  <Words>750</Words>
  <Characters>4414</Characters>
  <CharactersWithSpaces>5081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2020-08-16T18:57:09Z</dcterms:created>
  <dc:creator/>
  <dc:description/>
  <dc:language>en-US</dc:language>
  <cp:lastModifiedBy/>
  <dcterms:modified xsi:type="dcterms:W3CDTF">2020-08-17T18:25:21Z</dcterms:modified>
  <cp:revision>5</cp:revision>
  <dc:subject/>
  <dc:title/>
</cp:coreProperties>
</file>